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E1" w:rsidRDefault="003271E1" w:rsidP="003271E1">
      <w:pPr>
        <w:suppressAutoHyphens/>
        <w:autoSpaceDE w:val="0"/>
        <w:autoSpaceDN w:val="0"/>
        <w:adjustRightInd w:val="0"/>
        <w:jc w:val="right"/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 xml:space="preserve">Приложение </w:t>
      </w:r>
    </w:p>
    <w:p w:rsidR="003271E1" w:rsidRDefault="003271E1" w:rsidP="003271E1">
      <w:pPr>
        <w:suppressAutoHyphens/>
        <w:autoSpaceDE w:val="0"/>
        <w:autoSpaceDN w:val="0"/>
        <w:adjustRightInd w:val="0"/>
        <w:jc w:val="right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3271E1" w:rsidRDefault="003271E1" w:rsidP="003271E1">
      <w:pPr>
        <w:suppressAutoHyphens/>
        <w:autoSpaceDE w:val="0"/>
        <w:autoSpaceDN w:val="0"/>
        <w:adjustRightInd w:val="0"/>
        <w:ind w:firstLine="5387"/>
        <w:jc w:val="both"/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>к распоряжению</w:t>
      </w:r>
    </w:p>
    <w:p w:rsidR="003271E1" w:rsidRDefault="003271E1" w:rsidP="003271E1">
      <w:pPr>
        <w:suppressAutoHyphens/>
        <w:autoSpaceDE w:val="0"/>
        <w:autoSpaceDN w:val="0"/>
        <w:adjustRightInd w:val="0"/>
        <w:ind w:firstLine="5387"/>
        <w:jc w:val="both"/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 xml:space="preserve">Комитета по образованию </w:t>
      </w:r>
    </w:p>
    <w:p w:rsidR="003271E1" w:rsidRDefault="003271E1" w:rsidP="003271E1">
      <w:pPr>
        <w:suppressAutoHyphens/>
        <w:autoSpaceDE w:val="0"/>
        <w:autoSpaceDN w:val="0"/>
        <w:adjustRightInd w:val="0"/>
        <w:ind w:firstLine="5387"/>
        <w:jc w:val="both"/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</w:pPr>
    </w:p>
    <w:p w:rsidR="003271E1" w:rsidRDefault="003271E1" w:rsidP="003271E1">
      <w:pPr>
        <w:suppressAutoHyphens/>
        <w:autoSpaceDE w:val="0"/>
        <w:autoSpaceDN w:val="0"/>
        <w:adjustRightInd w:val="0"/>
        <w:ind w:firstLine="5387"/>
        <w:jc w:val="both"/>
        <w:rPr>
          <w:rFonts w:eastAsia="Arial Unicode MS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 xml:space="preserve">от </w:t>
      </w: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>03.10.2023 года №</w:t>
      </w:r>
      <w:bookmarkStart w:id="0" w:name="_GoBack"/>
      <w:bookmarkEnd w:id="0"/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>425/01-04</w:t>
      </w:r>
    </w:p>
    <w:p w:rsidR="003271E1" w:rsidRDefault="003271E1" w:rsidP="003271E1">
      <w:pPr>
        <w:rPr>
          <w:sz w:val="28"/>
          <w:szCs w:val="28"/>
        </w:rPr>
      </w:pPr>
    </w:p>
    <w:p w:rsidR="003271E1" w:rsidRDefault="003271E1" w:rsidP="003271E1">
      <w:pPr>
        <w:jc w:val="right"/>
        <w:rPr>
          <w:sz w:val="28"/>
          <w:szCs w:val="28"/>
        </w:rPr>
      </w:pPr>
    </w:p>
    <w:p w:rsidR="003271E1" w:rsidRDefault="003271E1" w:rsidP="003271E1">
      <w:pPr>
        <w:rPr>
          <w:sz w:val="28"/>
          <w:szCs w:val="28"/>
        </w:rPr>
      </w:pPr>
    </w:p>
    <w:p w:rsidR="003271E1" w:rsidRDefault="003271E1" w:rsidP="003271E1">
      <w:pPr>
        <w:jc w:val="right"/>
        <w:rPr>
          <w:sz w:val="28"/>
          <w:szCs w:val="28"/>
        </w:rPr>
      </w:pPr>
    </w:p>
    <w:p w:rsidR="003271E1" w:rsidRDefault="003271E1" w:rsidP="003271E1">
      <w:pPr>
        <w:jc w:val="right"/>
        <w:rPr>
          <w:sz w:val="28"/>
          <w:szCs w:val="28"/>
        </w:rPr>
      </w:pPr>
    </w:p>
    <w:p w:rsidR="003271E1" w:rsidRDefault="003271E1" w:rsidP="003271E1">
      <w:pPr>
        <w:keepNext/>
        <w:keepLines/>
        <w:widowControl w:val="0"/>
        <w:outlineLvl w:val="0"/>
        <w:rPr>
          <w:b/>
          <w:bCs/>
          <w:sz w:val="28"/>
          <w:szCs w:val="28"/>
          <w:lang w:eastAsia="en-US"/>
        </w:rPr>
      </w:pPr>
    </w:p>
    <w:p w:rsidR="003271E1" w:rsidRDefault="003271E1" w:rsidP="003271E1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ПОЛОЖЕНИЕ</w:t>
      </w:r>
    </w:p>
    <w:p w:rsidR="003271E1" w:rsidRDefault="003271E1" w:rsidP="003271E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о </w:t>
      </w:r>
      <w:r>
        <w:rPr>
          <w:b/>
          <w:sz w:val="28"/>
          <w:szCs w:val="28"/>
        </w:rPr>
        <w:t xml:space="preserve">проведении </w:t>
      </w:r>
      <w:r>
        <w:rPr>
          <w:b/>
          <w:bCs/>
          <w:sz w:val="28"/>
          <w:szCs w:val="28"/>
        </w:rPr>
        <w:t>муниципального этапа областного конкурса</w:t>
      </w:r>
    </w:p>
    <w:p w:rsidR="003271E1" w:rsidRDefault="003271E1" w:rsidP="003271E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эскизов этикеток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оформления спичечных коробков </w:t>
      </w:r>
    </w:p>
    <w:p w:rsidR="003271E1" w:rsidRDefault="003271E1" w:rsidP="003271E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«Злой огонь»</w:t>
      </w:r>
      <w:r>
        <w:rPr>
          <w:b/>
          <w:bCs/>
          <w:sz w:val="28"/>
          <w:szCs w:val="28"/>
        </w:rPr>
        <w:t xml:space="preserve"> </w:t>
      </w:r>
    </w:p>
    <w:p w:rsidR="003271E1" w:rsidRDefault="003271E1" w:rsidP="003271E1">
      <w:pPr>
        <w:widowControl w:val="0"/>
        <w:jc w:val="center"/>
        <w:rPr>
          <w:bCs/>
          <w:sz w:val="28"/>
          <w:szCs w:val="28"/>
        </w:rPr>
      </w:pPr>
    </w:p>
    <w:p w:rsidR="003271E1" w:rsidRDefault="003271E1" w:rsidP="003271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271E1" w:rsidRDefault="003271E1" w:rsidP="003271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71E1" w:rsidRDefault="003271E1" w:rsidP="003271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Положение определяет статус, цели, задачи, порядок проведения и финансирования муниципального этапа областного конкурса </w:t>
      </w:r>
      <w:r>
        <w:rPr>
          <w:bCs/>
          <w:sz w:val="28"/>
          <w:szCs w:val="28"/>
        </w:rPr>
        <w:t>эскизов этикеток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оформления спичечных коробков </w:t>
      </w:r>
      <w:r>
        <w:rPr>
          <w:sz w:val="28"/>
          <w:szCs w:val="28"/>
        </w:rPr>
        <w:t>«Злой огонь» (далее – Конкурс).</w:t>
      </w:r>
    </w:p>
    <w:p w:rsidR="003271E1" w:rsidRDefault="003271E1" w:rsidP="003271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Конкурс проводится с целью приобщения обучающихся младших классов образовательных организаций к природоохранной деятельности по предупреждению пожаров, возникающих по вине человека, актуализации значимости пожарной безопасности.</w:t>
      </w:r>
    </w:p>
    <w:p w:rsidR="003271E1" w:rsidRDefault="003271E1" w:rsidP="003271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Основными задачами Конкурса являются: </w:t>
      </w:r>
    </w:p>
    <w:p w:rsidR="003271E1" w:rsidRDefault="003271E1" w:rsidP="003271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общественного сознания и гражданской позиции подрастающего поколения в области обеспечения пожарной безопасности  среди учащихся образовательных организаций Всеволожского муниципального района Ленинградской области;</w:t>
      </w:r>
    </w:p>
    <w:p w:rsidR="003271E1" w:rsidRDefault="003271E1" w:rsidP="003271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3271E1" w:rsidRDefault="003271E1" w:rsidP="003271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активация и поддержка творческой инициативы обучающихся, вовлечение их в творческую деятельность в области пожарной безопасности.</w:t>
      </w:r>
    </w:p>
    <w:p w:rsidR="003271E1" w:rsidRDefault="003271E1" w:rsidP="003271E1">
      <w:pPr>
        <w:tabs>
          <w:tab w:val="left" w:pos="567"/>
        </w:tabs>
        <w:ind w:firstLine="567"/>
        <w:jc w:val="both"/>
        <w:rPr>
          <w:b/>
          <w:bCs/>
          <w:smallCaps/>
          <w:vanish/>
          <w:sz w:val="28"/>
          <w:szCs w:val="28"/>
        </w:rPr>
      </w:pPr>
      <w:r>
        <w:rPr>
          <w:b/>
          <w:bCs/>
          <w:smallCaps/>
          <w:vanish/>
          <w:sz w:val="28"/>
          <w:szCs w:val="28"/>
        </w:rPr>
        <w:t>ПОЛОЖЕНИЕ</w:t>
      </w:r>
    </w:p>
    <w:p w:rsidR="003271E1" w:rsidRDefault="003271E1" w:rsidP="003271E1">
      <w:pPr>
        <w:ind w:firstLine="567"/>
        <w:jc w:val="both"/>
        <w:rPr>
          <w:bCs/>
          <w:smallCaps/>
          <w:vanish/>
          <w:sz w:val="28"/>
          <w:szCs w:val="28"/>
        </w:rPr>
      </w:pPr>
      <w:r>
        <w:rPr>
          <w:bCs/>
          <w:smallCaps/>
          <w:vanish/>
          <w:sz w:val="28"/>
          <w:szCs w:val="28"/>
        </w:rPr>
        <w:t>О ПРОВЕДЕНИИ ОБЛАСТНОГО КОНКУРСА ДЕТСКОГО ТВОРЧЕСТВА</w:t>
      </w:r>
    </w:p>
    <w:p w:rsidR="003271E1" w:rsidRDefault="003271E1" w:rsidP="003271E1">
      <w:pPr>
        <w:ind w:firstLine="567"/>
        <w:jc w:val="both"/>
        <w:rPr>
          <w:bCs/>
          <w:smallCaps/>
          <w:vanish/>
          <w:sz w:val="28"/>
          <w:szCs w:val="28"/>
        </w:rPr>
      </w:pPr>
      <w:r>
        <w:rPr>
          <w:bCs/>
          <w:smallCaps/>
          <w:vanish/>
          <w:sz w:val="28"/>
          <w:szCs w:val="28"/>
        </w:rPr>
        <w:t>ПО БЕЗОПАСНОСТИ ДОРОЖНОГО ДВИЖЕНИЯ</w:t>
      </w:r>
    </w:p>
    <w:p w:rsidR="003271E1" w:rsidRDefault="003271E1" w:rsidP="003271E1">
      <w:pPr>
        <w:ind w:firstLine="567"/>
        <w:jc w:val="both"/>
        <w:rPr>
          <w:b/>
          <w:bCs/>
          <w:smallCaps/>
          <w:vanish/>
          <w:sz w:val="28"/>
          <w:szCs w:val="28"/>
        </w:rPr>
      </w:pPr>
      <w:r>
        <w:rPr>
          <w:b/>
          <w:bCs/>
          <w:smallCaps/>
          <w:vanish/>
          <w:sz w:val="28"/>
          <w:szCs w:val="28"/>
        </w:rPr>
        <w:t>«ДОРОГА И МЫ»</w:t>
      </w:r>
    </w:p>
    <w:p w:rsidR="003271E1" w:rsidRDefault="003271E1" w:rsidP="003271E1">
      <w:pPr>
        <w:ind w:firstLine="567"/>
        <w:jc w:val="both"/>
        <w:rPr>
          <w:b/>
          <w:bCs/>
          <w:sz w:val="28"/>
          <w:szCs w:val="28"/>
        </w:rPr>
      </w:pPr>
    </w:p>
    <w:p w:rsidR="003271E1" w:rsidRDefault="003271E1" w:rsidP="003271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МЕСТО И СРОКИ ПРОВЕДЕНИЯ КОНКУРСА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 в заочной форме: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Первый этап </w:t>
      </w:r>
      <w:r>
        <w:rPr>
          <w:iCs/>
          <w:sz w:val="28"/>
          <w:szCs w:val="28"/>
        </w:rPr>
        <w:t>(с 04 октября по 13 октября 2023 года)</w:t>
      </w:r>
      <w:r>
        <w:rPr>
          <w:sz w:val="28"/>
          <w:szCs w:val="28"/>
        </w:rPr>
        <w:t xml:space="preserve"> – на уровне образовательной организации.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Второй этап </w:t>
      </w:r>
      <w:r>
        <w:rPr>
          <w:iCs/>
          <w:sz w:val="28"/>
          <w:szCs w:val="28"/>
        </w:rPr>
        <w:t>(с 14 октября по 23 октября  2023  года)</w:t>
      </w:r>
      <w:r>
        <w:rPr>
          <w:sz w:val="28"/>
          <w:szCs w:val="28"/>
        </w:rPr>
        <w:t xml:space="preserve"> – на уровне Всеволожского муниципального района Ленинградской области.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</w:p>
    <w:p w:rsidR="003271E1" w:rsidRDefault="003271E1" w:rsidP="003271E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УЧАСТНИКИ КОНКУРСА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среди обучающихся образовательных организаций Всеволожского района Ленинградской области.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по 2-м возрастным группам: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1-я  возрастная группа - 1 - 2 классы;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2-я  возрастная группа - 3 - 4 классы.</w:t>
      </w:r>
    </w:p>
    <w:p w:rsidR="003271E1" w:rsidRDefault="003271E1" w:rsidP="003271E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 ОРГАНИЗАТОРЫ КОНКУРСА</w:t>
      </w:r>
    </w:p>
    <w:p w:rsidR="003271E1" w:rsidRDefault="003271E1" w:rsidP="003271E1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</w:p>
    <w:p w:rsidR="003271E1" w:rsidRDefault="003271E1" w:rsidP="003271E1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Организатором Конкурса является Комитет по образованию администрации МО «Всеволожский муниципальный район» Ленинградской области. </w:t>
      </w:r>
      <w:proofErr w:type="gramStart"/>
      <w:r>
        <w:rPr>
          <w:sz w:val="28"/>
          <w:szCs w:val="28"/>
        </w:rPr>
        <w:t xml:space="preserve">Непосредственное руководство проведения Конкурса осуществляет муниципальное бюджетное образовательное учреждение дополнительного образования «Дворец детского (юношеского) творчества Всеволожского района» (далее – МБОУДО ДДЮТ (г. Всеволожск, ул.1-я линия, 38, тел. 8(81370)25-129, Виктория Александровна Кириллова, </w:t>
      </w:r>
      <w:hyperlink r:id="rId6" w:history="1">
        <w:proofErr w:type="gramEnd"/>
        <w:r>
          <w:rPr>
            <w:rStyle w:val="a3"/>
            <w:bCs/>
            <w:sz w:val="28"/>
            <w:szCs w:val="28"/>
            <w:lang w:val="en-US"/>
          </w:rPr>
          <w:t>vk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ddut</w:t>
        </w:r>
        <w:r>
          <w:rPr>
            <w:rStyle w:val="a3"/>
            <w:bCs/>
            <w:sz w:val="28"/>
            <w:szCs w:val="28"/>
          </w:rPr>
          <w:t>@</w:t>
        </w:r>
        <w:r>
          <w:rPr>
            <w:rStyle w:val="a3"/>
            <w:bCs/>
            <w:sz w:val="28"/>
            <w:szCs w:val="28"/>
            <w:lang w:val="en-US"/>
          </w:rPr>
          <w:t>yandex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  <w:proofErr w:type="gramStart"/>
      </w:hyperlink>
      <w:r>
        <w:rPr>
          <w:bCs/>
          <w:sz w:val="28"/>
          <w:szCs w:val="28"/>
        </w:rPr>
        <w:t>.</w:t>
      </w:r>
      <w:proofErr w:type="gramEnd"/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Общее руководство по подготовке и проведению Конкурса осуществляет Организационный комитет (далее - Оргкомитет), в состав которого входят  представители МБОУДО ДДЮТ. 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Оргкомитета Конкурса:</w:t>
      </w:r>
    </w:p>
    <w:p w:rsidR="003271E1" w:rsidRDefault="003271E1" w:rsidP="003271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утверждает состав жюри Конкурса, определяет победителей и призеров Конкурса;</w:t>
      </w:r>
    </w:p>
    <w:p w:rsidR="003271E1" w:rsidRDefault="003271E1" w:rsidP="003271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принимает конкурсные материалы для участия в муниципальном этапе Конкурса;</w:t>
      </w:r>
    </w:p>
    <w:p w:rsidR="003271E1" w:rsidRDefault="003271E1" w:rsidP="003271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информирует об итогах Конкурса посредством размещения протокола на официальном сайте МБОУДО ДДЮТ.</w:t>
      </w: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Функции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Конкурса: </w:t>
      </w:r>
    </w:p>
    <w:p w:rsidR="003271E1" w:rsidRDefault="003271E1" w:rsidP="003271E1">
      <w:pPr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проводит оценку материалов, поступивших на Конкурс в соответствии с критериями. Решение жюри оформляется протоколом и утверждается председателем жюри;</w:t>
      </w:r>
    </w:p>
    <w:p w:rsidR="003271E1" w:rsidRDefault="003271E1" w:rsidP="003271E1">
      <w:pPr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решение жюри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выдаются. Решения жюри, оформляются протоколом и утверждаются председателем жюри.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</w:p>
    <w:p w:rsidR="003271E1" w:rsidRDefault="003271E1" w:rsidP="003271E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ПОРЯДОК ПРОВЕДЕНИЯ КОНКУРСА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</w:p>
    <w:p w:rsidR="003271E1" w:rsidRDefault="003271E1" w:rsidP="003271E1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На  Конкурс предоставляются фотографии работ, выполненных в стиле художественно - изобразительного  творчества:  </w:t>
      </w:r>
      <w:r>
        <w:rPr>
          <w:b/>
          <w:sz w:val="28"/>
          <w:szCs w:val="28"/>
        </w:rPr>
        <w:t xml:space="preserve">рисунок   </w:t>
      </w:r>
      <w:r>
        <w:rPr>
          <w:sz w:val="28"/>
          <w:szCs w:val="28"/>
        </w:rPr>
        <w:t xml:space="preserve"> (формат работ </w:t>
      </w:r>
      <w:proofErr w:type="gramEnd"/>
    </w:p>
    <w:p w:rsidR="003271E1" w:rsidRDefault="003271E1" w:rsidP="003271E1">
      <w:pPr>
        <w:pageBreakBefore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210*300мм (не более А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4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). Каждая фотография рисунка должна быть высокого качества, файл подписан: ФИО участника, дата рождения, класс, муниципальный район, название работы. </w:t>
      </w:r>
      <w:r>
        <w:rPr>
          <w:b/>
          <w:sz w:val="28"/>
          <w:szCs w:val="28"/>
        </w:rPr>
        <w:t>Тематика: «Правила пожарной безопасности»</w:t>
      </w:r>
      <w:r>
        <w:rPr>
          <w:sz w:val="28"/>
          <w:szCs w:val="28"/>
        </w:rPr>
        <w:t xml:space="preserve">. </w:t>
      </w:r>
    </w:p>
    <w:p w:rsidR="003271E1" w:rsidRDefault="003271E1" w:rsidP="003271E1">
      <w:pPr>
        <w:pStyle w:val="Default"/>
        <w:jc w:val="both"/>
        <w:rPr>
          <w:sz w:val="28"/>
          <w:szCs w:val="28"/>
        </w:rPr>
      </w:pPr>
    </w:p>
    <w:p w:rsidR="003271E1" w:rsidRDefault="003271E1" w:rsidP="003271E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>
        <w:rPr>
          <w:b/>
          <w:color w:val="auto"/>
          <w:sz w:val="28"/>
          <w:szCs w:val="28"/>
        </w:rPr>
        <w:t>Заявки на участие и конкурсные работы</w:t>
      </w:r>
      <w:r>
        <w:rPr>
          <w:color w:val="auto"/>
          <w:sz w:val="28"/>
          <w:szCs w:val="28"/>
        </w:rPr>
        <w:t xml:space="preserve"> (</w:t>
      </w:r>
      <w:r>
        <w:rPr>
          <w:b/>
          <w:color w:val="auto"/>
          <w:sz w:val="28"/>
          <w:szCs w:val="28"/>
        </w:rPr>
        <w:t>фотографии работ</w:t>
      </w:r>
      <w:r>
        <w:rPr>
          <w:color w:val="auto"/>
          <w:sz w:val="28"/>
          <w:szCs w:val="28"/>
        </w:rPr>
        <w:t>) по прилагаемой форме согласно приложению н</w:t>
      </w:r>
      <w:r>
        <w:rPr>
          <w:bCs/>
          <w:color w:val="auto"/>
          <w:sz w:val="28"/>
          <w:szCs w:val="28"/>
        </w:rPr>
        <w:t xml:space="preserve">аправить </w:t>
      </w:r>
      <w:r>
        <w:rPr>
          <w:b/>
          <w:bCs/>
          <w:color w:val="auto"/>
          <w:sz w:val="28"/>
          <w:szCs w:val="28"/>
        </w:rPr>
        <w:t>до 13 октября 2023</w:t>
      </w:r>
      <w:r>
        <w:rPr>
          <w:bCs/>
          <w:color w:val="auto"/>
          <w:sz w:val="28"/>
          <w:szCs w:val="28"/>
        </w:rPr>
        <w:t xml:space="preserve"> на электронный адрес </w:t>
      </w:r>
      <w:hyperlink r:id="rId7" w:history="1">
        <w:r>
          <w:rPr>
            <w:rStyle w:val="a3"/>
            <w:bCs/>
            <w:sz w:val="28"/>
            <w:szCs w:val="28"/>
            <w:lang w:val="en-US"/>
          </w:rPr>
          <w:t>vk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ddut</w:t>
        </w:r>
        <w:r>
          <w:rPr>
            <w:rStyle w:val="a3"/>
            <w:bCs/>
            <w:sz w:val="28"/>
            <w:szCs w:val="28"/>
          </w:rPr>
          <w:t>@</w:t>
        </w:r>
        <w:r>
          <w:rPr>
            <w:rStyle w:val="a3"/>
            <w:bCs/>
            <w:sz w:val="28"/>
            <w:szCs w:val="28"/>
            <w:lang w:val="en-US"/>
          </w:rPr>
          <w:t>yandex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271E1"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пометкой </w:t>
      </w:r>
      <w:r>
        <w:rPr>
          <w:b/>
          <w:color w:val="auto"/>
          <w:sz w:val="28"/>
          <w:szCs w:val="28"/>
        </w:rPr>
        <w:t>«Эскизы»</w:t>
      </w:r>
      <w:r>
        <w:rPr>
          <w:color w:val="auto"/>
          <w:sz w:val="28"/>
          <w:szCs w:val="28"/>
        </w:rPr>
        <w:t xml:space="preserve"> (приложение). </w:t>
      </w:r>
      <w:r>
        <w:rPr>
          <w:b/>
          <w:iCs/>
          <w:sz w:val="28"/>
          <w:szCs w:val="28"/>
        </w:rPr>
        <w:t>РАБОТЫ ПРИВОЗИТЬ В МБОУДО ДДЮТ НЕ НУЖНО!</w:t>
      </w:r>
      <w:r>
        <w:rPr>
          <w:color w:val="auto"/>
          <w:sz w:val="28"/>
          <w:szCs w:val="28"/>
        </w:rPr>
        <w:t xml:space="preserve"> 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ab/>
        <w:t xml:space="preserve">5.3. </w:t>
      </w:r>
      <w:r>
        <w:rPr>
          <w:sz w:val="28"/>
          <w:szCs w:val="28"/>
        </w:rPr>
        <w:t>Конкурсные работы, не более  5 работ от каждой возрастной группы, направляются для участия в областном этапе</w:t>
      </w:r>
      <w:r>
        <w:rPr>
          <w:iCs/>
          <w:sz w:val="28"/>
          <w:szCs w:val="28"/>
        </w:rPr>
        <w:t xml:space="preserve"> по адресу: 188686, Ленинградская область, Всеволожский район, деревня Разметелево, улица ПТУ 56,  ГБУ ДО «Центр «Ладога».</w:t>
      </w:r>
      <w:r>
        <w:rPr>
          <w:sz w:val="28"/>
          <w:szCs w:val="28"/>
        </w:rPr>
        <w:t xml:space="preserve"> </w:t>
      </w:r>
    </w:p>
    <w:p w:rsidR="003271E1" w:rsidRDefault="003271E1" w:rsidP="003271E1">
      <w:pPr>
        <w:tabs>
          <w:tab w:val="left" w:pos="72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5.4. </w:t>
      </w:r>
      <w:r>
        <w:rPr>
          <w:sz w:val="28"/>
          <w:szCs w:val="28"/>
        </w:rPr>
        <w:t>Участие в Конкурсе автоматически подразумевает согласие на публикацию работы в информационном сборнике и средствах массовой информации, с сохранением авторства за участниками.</w:t>
      </w:r>
      <w:r>
        <w:rPr>
          <w:sz w:val="24"/>
          <w:szCs w:val="24"/>
        </w:rPr>
        <w:t xml:space="preserve"> </w:t>
      </w:r>
    </w:p>
    <w:p w:rsidR="003271E1" w:rsidRDefault="003271E1" w:rsidP="003271E1">
      <w:pPr>
        <w:tabs>
          <w:tab w:val="left" w:pos="60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</w:p>
    <w:p w:rsidR="003271E1" w:rsidRDefault="003271E1" w:rsidP="003271E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6. КРИТЕРИИ ОЦЕНКИ КОНКУРСНЫХ РАБОТ</w:t>
      </w:r>
    </w:p>
    <w:p w:rsidR="003271E1" w:rsidRDefault="003271E1" w:rsidP="003271E1">
      <w:pPr>
        <w:tabs>
          <w:tab w:val="left" w:pos="600"/>
        </w:tabs>
        <w:ind w:firstLine="567"/>
        <w:jc w:val="both"/>
        <w:rPr>
          <w:iCs/>
          <w:sz w:val="28"/>
          <w:szCs w:val="28"/>
        </w:rPr>
      </w:pPr>
    </w:p>
    <w:p w:rsidR="003271E1" w:rsidRDefault="003271E1" w:rsidP="003271E1">
      <w:pPr>
        <w:pStyle w:val="a4"/>
        <w:numPr>
          <w:ilvl w:val="0"/>
          <w:numId w:val="4"/>
        </w:numPr>
        <w:tabs>
          <w:tab w:val="left" w:pos="600"/>
        </w:tabs>
        <w:ind w:left="0" w:firstLine="567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Соответствие условиям Положения и заявленной теме;</w:t>
      </w:r>
    </w:p>
    <w:p w:rsidR="003271E1" w:rsidRDefault="003271E1" w:rsidP="003271E1">
      <w:pPr>
        <w:pStyle w:val="a4"/>
        <w:numPr>
          <w:ilvl w:val="0"/>
          <w:numId w:val="4"/>
        </w:numPr>
        <w:tabs>
          <w:tab w:val="left" w:pos="60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Оригинальность замысла, авторство (оригинальное композиционное решение);</w:t>
      </w:r>
    </w:p>
    <w:p w:rsidR="003271E1" w:rsidRDefault="003271E1" w:rsidP="003271E1">
      <w:pPr>
        <w:pStyle w:val="a4"/>
        <w:numPr>
          <w:ilvl w:val="0"/>
          <w:numId w:val="4"/>
        </w:numPr>
        <w:tabs>
          <w:tab w:val="left" w:pos="60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Художественная выразительность образа (цветовая и смысловая выразительность);</w:t>
      </w:r>
    </w:p>
    <w:p w:rsidR="003271E1" w:rsidRDefault="003271E1" w:rsidP="003271E1">
      <w:pPr>
        <w:pStyle w:val="a4"/>
        <w:numPr>
          <w:ilvl w:val="0"/>
          <w:numId w:val="4"/>
        </w:numPr>
        <w:tabs>
          <w:tab w:val="left" w:pos="60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Соответствие возрасту, мастерство исполнения;</w:t>
      </w:r>
    </w:p>
    <w:p w:rsidR="003271E1" w:rsidRDefault="003271E1" w:rsidP="003271E1">
      <w:pPr>
        <w:pStyle w:val="a4"/>
        <w:numPr>
          <w:ilvl w:val="0"/>
          <w:numId w:val="4"/>
        </w:numPr>
        <w:tabs>
          <w:tab w:val="left" w:pos="60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Легкость зрительного восприятия и простота тиражирования.</w:t>
      </w:r>
    </w:p>
    <w:p w:rsidR="003271E1" w:rsidRDefault="003271E1" w:rsidP="003271E1">
      <w:pPr>
        <w:tabs>
          <w:tab w:val="left" w:pos="6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271E1" w:rsidRDefault="003271E1" w:rsidP="003271E1">
      <w:pPr>
        <w:pStyle w:val="a4"/>
        <w:numPr>
          <w:ilvl w:val="0"/>
          <w:numId w:val="5"/>
        </w:numPr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ПОДВЕДЕНИЕ ИТОГОВ И НАГРАЖДЕНИЕ</w:t>
      </w:r>
    </w:p>
    <w:p w:rsidR="003271E1" w:rsidRDefault="003271E1" w:rsidP="003271E1">
      <w:pPr>
        <w:ind w:firstLine="567"/>
        <w:jc w:val="both"/>
        <w:rPr>
          <w:b/>
          <w:iCs/>
          <w:sz w:val="28"/>
          <w:szCs w:val="28"/>
        </w:rPr>
      </w:pPr>
    </w:p>
    <w:p w:rsidR="003271E1" w:rsidRDefault="003271E1" w:rsidP="00327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Победители определяются в каждой возрастной группе,  награждаются дипломами. </w:t>
      </w:r>
    </w:p>
    <w:p w:rsidR="003271E1" w:rsidRDefault="003271E1" w:rsidP="003271E1">
      <w:pPr>
        <w:ind w:firstLine="567"/>
        <w:jc w:val="both"/>
        <w:rPr>
          <w:b/>
          <w:sz w:val="28"/>
          <w:szCs w:val="28"/>
        </w:rPr>
      </w:pPr>
    </w:p>
    <w:p w:rsidR="003271E1" w:rsidRDefault="003271E1" w:rsidP="00327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УСЛОВИЯ ФИНАНСИРОВАНИЯ КОНКУРСА</w:t>
      </w:r>
    </w:p>
    <w:p w:rsidR="003271E1" w:rsidRDefault="003271E1" w:rsidP="003271E1">
      <w:pPr>
        <w:ind w:firstLine="567"/>
        <w:jc w:val="both"/>
        <w:rPr>
          <w:b/>
          <w:sz w:val="28"/>
          <w:szCs w:val="28"/>
        </w:rPr>
      </w:pPr>
    </w:p>
    <w:p w:rsidR="003271E1" w:rsidRDefault="003271E1" w:rsidP="003271E1">
      <w:pPr>
        <w:tabs>
          <w:tab w:val="num" w:pos="180"/>
          <w:tab w:val="num" w:pos="720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ab/>
        <w:t>8.1. Финансирование Конкурса осуществляется за счет средств МБОУДО ДДЮТ</w:t>
      </w:r>
    </w:p>
    <w:p w:rsidR="003271E1" w:rsidRDefault="003271E1" w:rsidP="003271E1">
      <w:pPr>
        <w:ind w:firstLine="567"/>
        <w:jc w:val="both"/>
        <w:rPr>
          <w:sz w:val="26"/>
          <w:szCs w:val="26"/>
        </w:rPr>
      </w:pPr>
    </w:p>
    <w:p w:rsidR="003271E1" w:rsidRDefault="003271E1" w:rsidP="003271E1">
      <w:pPr>
        <w:jc w:val="right"/>
        <w:rPr>
          <w:sz w:val="26"/>
          <w:szCs w:val="26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271E1" w:rsidRDefault="003271E1" w:rsidP="003271E1">
      <w:pPr>
        <w:widowControl w:val="0"/>
        <w:ind w:right="-1"/>
        <w:rPr>
          <w:rFonts w:eastAsia="Microsoft Sans Serif"/>
          <w:color w:val="000000"/>
          <w:sz w:val="28"/>
          <w:szCs w:val="28"/>
          <w:lang w:bidi="ru-RU"/>
        </w:rPr>
      </w:pPr>
    </w:p>
    <w:p w:rsidR="003271E1" w:rsidRDefault="003271E1" w:rsidP="003271E1">
      <w:pPr>
        <w:suppressAutoHyphens/>
        <w:autoSpaceDE w:val="0"/>
        <w:autoSpaceDN w:val="0"/>
        <w:adjustRightInd w:val="0"/>
        <w:jc w:val="right"/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i/>
          <w:color w:val="000000"/>
          <w:kern w:val="2"/>
          <w:sz w:val="28"/>
          <w:szCs w:val="28"/>
          <w:lang w:eastAsia="hi-IN" w:bidi="hi-IN"/>
        </w:rPr>
        <w:t xml:space="preserve">Приложение </w:t>
      </w: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793"/>
      </w:tblGrid>
      <w:tr w:rsidR="003271E1" w:rsidTr="003271E1">
        <w:tc>
          <w:tcPr>
            <w:tcW w:w="6096" w:type="dxa"/>
            <w:hideMark/>
          </w:tcPr>
          <w:p w:rsidR="003271E1" w:rsidRDefault="003271E1">
            <w:pPr>
              <w:widowControl w:val="0"/>
              <w:ind w:right="499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На бланке учреждения</w:t>
            </w:r>
          </w:p>
        </w:tc>
        <w:tc>
          <w:tcPr>
            <w:tcW w:w="3793" w:type="dxa"/>
            <w:hideMark/>
          </w:tcPr>
          <w:p w:rsidR="003271E1" w:rsidRDefault="003271E1">
            <w:pPr>
              <w:widowControl w:val="0"/>
              <w:ind w:right="-1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В оргкомитет </w:t>
            </w:r>
          </w:p>
          <w:p w:rsidR="003271E1" w:rsidRDefault="003271E1">
            <w:pPr>
              <w:widowControl w:val="0"/>
              <w:ind w:right="-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муниципального этапа</w:t>
            </w:r>
          </w:p>
          <w:p w:rsidR="003271E1" w:rsidRDefault="003271E1">
            <w:pPr>
              <w:widowControl w:val="0"/>
              <w:ind w:right="-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областного конкурса эскизов этикеток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для оформления спичечных коробков </w:t>
            </w:r>
          </w:p>
          <w:p w:rsidR="003271E1" w:rsidRDefault="003271E1">
            <w:pPr>
              <w:widowControl w:val="0"/>
              <w:ind w:right="-1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/>
              </w:rPr>
              <w:t>«Злой огонь»</w:t>
            </w: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</w:t>
            </w:r>
          </w:p>
        </w:tc>
      </w:tr>
    </w:tbl>
    <w:p w:rsidR="003271E1" w:rsidRDefault="003271E1" w:rsidP="003271E1">
      <w:pPr>
        <w:widowControl w:val="0"/>
        <w:ind w:right="499"/>
        <w:jc w:val="right"/>
        <w:rPr>
          <w:rFonts w:eastAsia="Microsoft Sans Serif"/>
          <w:color w:val="000000"/>
          <w:sz w:val="28"/>
          <w:szCs w:val="28"/>
          <w:lang w:bidi="ru-RU"/>
        </w:rPr>
      </w:pPr>
    </w:p>
    <w:p w:rsidR="003271E1" w:rsidRDefault="003271E1" w:rsidP="003271E1">
      <w:pPr>
        <w:widowControl w:val="0"/>
        <w:ind w:right="499"/>
        <w:rPr>
          <w:rFonts w:eastAsia="Microsoft Sans Serif"/>
          <w:color w:val="000000"/>
          <w:sz w:val="28"/>
          <w:szCs w:val="28"/>
          <w:lang w:bidi="ru-RU"/>
        </w:rPr>
      </w:pPr>
    </w:p>
    <w:p w:rsidR="003271E1" w:rsidRDefault="003271E1" w:rsidP="003271E1">
      <w:pPr>
        <w:widowControl w:val="0"/>
        <w:ind w:right="499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                                               </w:t>
      </w:r>
    </w:p>
    <w:p w:rsidR="003271E1" w:rsidRDefault="003271E1" w:rsidP="003271E1">
      <w:pPr>
        <w:widowControl w:val="0"/>
        <w:ind w:right="49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Заявка</w:t>
      </w:r>
    </w:p>
    <w:p w:rsidR="003271E1" w:rsidRDefault="003271E1" w:rsidP="003271E1">
      <w:pPr>
        <w:widowControl w:val="0"/>
        <w:ind w:right="49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на участие в муниципальном этапе областного конкурса</w:t>
      </w:r>
    </w:p>
    <w:p w:rsidR="003271E1" w:rsidRDefault="003271E1" w:rsidP="003271E1">
      <w:pPr>
        <w:widowControl w:val="0"/>
        <w:ind w:right="499"/>
        <w:jc w:val="center"/>
        <w:rPr>
          <w:bCs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</w:rPr>
        <w:t>эскизов этикеток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оформления спичечных коробков </w:t>
      </w:r>
    </w:p>
    <w:p w:rsidR="003271E1" w:rsidRDefault="003271E1" w:rsidP="003271E1">
      <w:pPr>
        <w:widowControl w:val="0"/>
        <w:ind w:right="499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«Злой огонь»</w:t>
      </w:r>
    </w:p>
    <w:p w:rsidR="003271E1" w:rsidRDefault="003271E1" w:rsidP="003271E1">
      <w:pPr>
        <w:widowControl w:val="0"/>
        <w:ind w:right="499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1546"/>
        <w:gridCol w:w="1259"/>
        <w:gridCol w:w="2031"/>
        <w:gridCol w:w="1196"/>
        <w:gridCol w:w="1546"/>
        <w:gridCol w:w="1527"/>
      </w:tblGrid>
      <w:tr w:rsidR="003271E1" w:rsidTr="003271E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участника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педагога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E1" w:rsidRDefault="003271E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телефон, </w:t>
            </w:r>
          </w:p>
          <w:p w:rsidR="003271E1" w:rsidRDefault="003271E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E-mail</w:t>
            </w:r>
          </w:p>
        </w:tc>
      </w:tr>
      <w:tr w:rsidR="003271E1" w:rsidTr="003271E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71E1" w:rsidTr="003271E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271E1" w:rsidTr="003271E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1" w:rsidRDefault="003271E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271E1" w:rsidRDefault="003271E1" w:rsidP="003271E1">
      <w:pPr>
        <w:jc w:val="right"/>
        <w:rPr>
          <w:sz w:val="28"/>
          <w:szCs w:val="28"/>
        </w:rPr>
      </w:pPr>
    </w:p>
    <w:p w:rsidR="003271E1" w:rsidRDefault="003271E1" w:rsidP="003271E1">
      <w:pPr>
        <w:jc w:val="right"/>
        <w:rPr>
          <w:sz w:val="28"/>
          <w:szCs w:val="28"/>
        </w:rPr>
      </w:pPr>
    </w:p>
    <w:p w:rsidR="003271E1" w:rsidRDefault="003271E1" w:rsidP="003271E1">
      <w:pPr>
        <w:jc w:val="both"/>
        <w:rPr>
          <w:sz w:val="28"/>
          <w:szCs w:val="28"/>
        </w:rPr>
      </w:pPr>
    </w:p>
    <w:p w:rsidR="003271E1" w:rsidRDefault="003271E1" w:rsidP="003271E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_____________/___________/</w:t>
      </w:r>
    </w:p>
    <w:p w:rsidR="003271E1" w:rsidRDefault="003271E1" w:rsidP="0032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(подпись)</w:t>
      </w:r>
    </w:p>
    <w:p w:rsidR="003271E1" w:rsidRDefault="003271E1" w:rsidP="0032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М.П.</w:t>
      </w:r>
    </w:p>
    <w:p w:rsidR="000E04D1" w:rsidRDefault="003271E1"/>
    <w:sectPr w:rsidR="000E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3C0"/>
    <w:multiLevelType w:val="hybridMultilevel"/>
    <w:tmpl w:val="7B000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3B7723"/>
    <w:multiLevelType w:val="hybridMultilevel"/>
    <w:tmpl w:val="810E6B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73677576"/>
    <w:multiLevelType w:val="hybridMultilevel"/>
    <w:tmpl w:val="B8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A10B6"/>
    <w:multiLevelType w:val="hybridMultilevel"/>
    <w:tmpl w:val="98C8CE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D93D2A"/>
    <w:multiLevelType w:val="hybridMultilevel"/>
    <w:tmpl w:val="A09E63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B"/>
    <w:rsid w:val="002374FE"/>
    <w:rsid w:val="003271E1"/>
    <w:rsid w:val="006A34CB"/>
    <w:rsid w:val="00E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71E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271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271E1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  <w:lang w:eastAsia="en-US"/>
    </w:r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27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71E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271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271E1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  <w:lang w:eastAsia="en-US"/>
    </w:r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271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.ddu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.ddu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2</cp:revision>
  <dcterms:created xsi:type="dcterms:W3CDTF">2023-10-03T08:27:00Z</dcterms:created>
  <dcterms:modified xsi:type="dcterms:W3CDTF">2023-10-03T08:30:00Z</dcterms:modified>
</cp:coreProperties>
</file>